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C4" w:rsidRPr="007A763C" w:rsidRDefault="009D39C4" w:rsidP="00280B08">
      <w:pPr>
        <w:jc w:val="center"/>
        <w:rPr>
          <w:rFonts w:cs="Times New Roman"/>
          <w:b/>
          <w:szCs w:val="28"/>
        </w:rPr>
      </w:pPr>
      <w:r w:rsidRPr="007A763C">
        <w:rPr>
          <w:rFonts w:cs="Times New Roman"/>
          <w:b/>
          <w:szCs w:val="28"/>
        </w:rPr>
        <w:t>REPÚBLICA DE COLOMBIA</w:t>
      </w:r>
    </w:p>
    <w:p w:rsidR="009D39C4" w:rsidRPr="007A763C" w:rsidRDefault="009D39C4" w:rsidP="00280B08">
      <w:pPr>
        <w:jc w:val="center"/>
        <w:rPr>
          <w:rFonts w:cs="Times New Roman"/>
          <w:b/>
          <w:szCs w:val="28"/>
        </w:rPr>
      </w:pPr>
      <w:r w:rsidRPr="007A763C">
        <w:rPr>
          <w:rFonts w:cs="Times New Roman"/>
          <w:b/>
          <w:noProof/>
          <w:szCs w:val="28"/>
          <w:lang w:eastAsia="es-CO"/>
        </w:rPr>
        <w:drawing>
          <wp:inline distT="0" distB="0" distL="0" distR="0" wp14:anchorId="7E1AD187" wp14:editId="65E535FE">
            <wp:extent cx="1322671" cy="92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05" cy="9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C4" w:rsidRPr="007A763C" w:rsidRDefault="009D39C4" w:rsidP="00280B08">
      <w:pPr>
        <w:jc w:val="center"/>
        <w:rPr>
          <w:rFonts w:cs="Times New Roman"/>
          <w:b/>
          <w:szCs w:val="28"/>
        </w:rPr>
      </w:pPr>
      <w:r w:rsidRPr="007A763C">
        <w:rPr>
          <w:rFonts w:cs="Times New Roman"/>
          <w:b/>
          <w:szCs w:val="28"/>
        </w:rPr>
        <w:t>CORTE CONSTITUCIONAL</w:t>
      </w:r>
    </w:p>
    <w:p w:rsidR="009D39C4" w:rsidRPr="007A763C" w:rsidRDefault="009D39C4" w:rsidP="00280B08">
      <w:pPr>
        <w:jc w:val="center"/>
        <w:rPr>
          <w:rFonts w:cs="Times New Roman"/>
          <w:b/>
          <w:szCs w:val="28"/>
        </w:rPr>
      </w:pPr>
      <w:r w:rsidRPr="007A763C">
        <w:rPr>
          <w:rFonts w:cs="Times New Roman"/>
          <w:b/>
          <w:szCs w:val="28"/>
        </w:rPr>
        <w:t>SALA ESPECIAL DE SEGUIMIENTO SENTENCIA T-025 DE 2004</w:t>
      </w:r>
    </w:p>
    <w:p w:rsidR="009D39C4" w:rsidRPr="007A763C" w:rsidRDefault="009D39C4" w:rsidP="00280B08">
      <w:pPr>
        <w:jc w:val="center"/>
        <w:rPr>
          <w:rFonts w:cs="Times New Roman"/>
          <w:b/>
          <w:szCs w:val="28"/>
        </w:rPr>
      </w:pPr>
      <w:r w:rsidRPr="007A763C">
        <w:rPr>
          <w:rFonts w:cs="Times New Roman"/>
          <w:b/>
          <w:szCs w:val="28"/>
        </w:rPr>
        <w:t>AUTO</w:t>
      </w:r>
      <w:r w:rsidR="003D3B4D" w:rsidRPr="007A763C">
        <w:rPr>
          <w:rFonts w:cs="Times New Roman"/>
          <w:b/>
          <w:szCs w:val="28"/>
        </w:rPr>
        <w:t xml:space="preserve"> </w:t>
      </w:r>
      <w:r w:rsidR="00F72C82">
        <w:rPr>
          <w:rFonts w:cs="Times New Roman"/>
          <w:b/>
          <w:szCs w:val="28"/>
        </w:rPr>
        <w:t>683</w:t>
      </w:r>
      <w:r w:rsidRPr="007A763C">
        <w:rPr>
          <w:rFonts w:cs="Times New Roman"/>
          <w:b/>
          <w:szCs w:val="28"/>
        </w:rPr>
        <w:t xml:space="preserve"> DE 2018</w:t>
      </w:r>
    </w:p>
    <w:p w:rsidR="00B23F96" w:rsidRPr="007A763C" w:rsidRDefault="00B23F96" w:rsidP="00B23F96">
      <w:pPr>
        <w:spacing w:before="240"/>
        <w:ind w:right="3061"/>
        <w:jc w:val="right"/>
        <w:rPr>
          <w:rFonts w:cs="Times New Roman"/>
          <w:b/>
          <w:color w:val="0D0D0D"/>
          <w:szCs w:val="28"/>
          <w:lang w:val="es-ES_tradnl"/>
        </w:rPr>
      </w:pPr>
    </w:p>
    <w:p w:rsidR="00574D76" w:rsidRPr="007A763C" w:rsidRDefault="009D39C4" w:rsidP="00B23F96">
      <w:pPr>
        <w:ind w:left="4351" w:right="71"/>
        <w:rPr>
          <w:rFonts w:cs="Times New Roman"/>
          <w:color w:val="000000"/>
          <w:szCs w:val="28"/>
          <w:lang w:val="es-ES_tradnl"/>
        </w:rPr>
      </w:pPr>
      <w:r w:rsidRPr="007A763C">
        <w:rPr>
          <w:rFonts w:cs="Times New Roman"/>
          <w:b/>
          <w:color w:val="0D0D0D"/>
          <w:spacing w:val="-1"/>
          <w:szCs w:val="28"/>
          <w:lang w:val="es-ES_tradnl"/>
        </w:rPr>
        <w:t>R</w:t>
      </w:r>
      <w:r w:rsidRPr="007A763C">
        <w:rPr>
          <w:rFonts w:cs="Times New Roman"/>
          <w:b/>
          <w:color w:val="0D0D0D"/>
          <w:szCs w:val="28"/>
          <w:lang w:val="es-ES_tradnl"/>
        </w:rPr>
        <w:t>eferen</w:t>
      </w:r>
      <w:r w:rsidRPr="007A763C">
        <w:rPr>
          <w:rFonts w:cs="Times New Roman"/>
          <w:b/>
          <w:color w:val="0D0D0D"/>
          <w:spacing w:val="-2"/>
          <w:szCs w:val="28"/>
          <w:lang w:val="es-ES_tradnl"/>
        </w:rPr>
        <w:t>c</w:t>
      </w:r>
      <w:r w:rsidRPr="007A763C">
        <w:rPr>
          <w:rFonts w:cs="Times New Roman"/>
          <w:b/>
          <w:color w:val="0D0D0D"/>
          <w:spacing w:val="1"/>
          <w:szCs w:val="28"/>
          <w:lang w:val="es-ES_tradnl"/>
        </w:rPr>
        <w:t>ia</w:t>
      </w:r>
      <w:r w:rsidRPr="007A763C">
        <w:rPr>
          <w:rFonts w:cs="Times New Roman"/>
          <w:b/>
          <w:color w:val="0D0D0D"/>
          <w:szCs w:val="28"/>
          <w:lang w:val="es-ES_tradnl"/>
        </w:rPr>
        <w:t>:</w:t>
      </w:r>
      <w:r w:rsidRPr="007A763C">
        <w:rPr>
          <w:rFonts w:cs="Times New Roman"/>
          <w:b/>
          <w:color w:val="0D0D0D"/>
          <w:spacing w:val="1"/>
          <w:szCs w:val="28"/>
          <w:lang w:val="es-ES_tradnl"/>
        </w:rPr>
        <w:t xml:space="preserve"> </w:t>
      </w:r>
      <w:r w:rsidR="009420C4" w:rsidRPr="007A763C">
        <w:rPr>
          <w:rFonts w:cs="Times New Roman"/>
          <w:color w:val="0D0D0D"/>
          <w:spacing w:val="1"/>
          <w:szCs w:val="28"/>
          <w:lang w:val="es-ES_tradnl"/>
        </w:rPr>
        <w:t>Traslado de</w:t>
      </w:r>
      <w:r w:rsidR="00475F68" w:rsidRPr="007A763C">
        <w:rPr>
          <w:rFonts w:cs="Times New Roman"/>
          <w:color w:val="0D0D0D"/>
          <w:spacing w:val="1"/>
          <w:szCs w:val="28"/>
          <w:lang w:val="es-ES_tradnl"/>
        </w:rPr>
        <w:t xml:space="preserve"> </w:t>
      </w:r>
      <w:r w:rsidR="009420C4" w:rsidRPr="007A763C">
        <w:rPr>
          <w:rFonts w:cs="Times New Roman"/>
          <w:color w:val="0D0D0D"/>
          <w:spacing w:val="1"/>
          <w:szCs w:val="28"/>
          <w:lang w:val="es-ES_tradnl"/>
        </w:rPr>
        <w:t>l</w:t>
      </w:r>
      <w:r w:rsidR="00475F68" w:rsidRPr="007A763C">
        <w:rPr>
          <w:rFonts w:cs="Times New Roman"/>
          <w:color w:val="0D0D0D"/>
          <w:spacing w:val="1"/>
          <w:szCs w:val="28"/>
          <w:lang w:val="es-ES_tradnl"/>
        </w:rPr>
        <w:t>os</w:t>
      </w:r>
      <w:r w:rsidR="009420C4" w:rsidRPr="007A763C">
        <w:rPr>
          <w:rFonts w:cs="Times New Roman"/>
          <w:color w:val="0D0D0D"/>
          <w:spacing w:val="1"/>
          <w:szCs w:val="28"/>
          <w:lang w:val="es-ES_tradnl"/>
        </w:rPr>
        <w:t xml:space="preserve"> informe</w:t>
      </w:r>
      <w:r w:rsidR="00475F68" w:rsidRPr="007A763C">
        <w:rPr>
          <w:rFonts w:cs="Times New Roman"/>
          <w:color w:val="0D0D0D"/>
          <w:spacing w:val="1"/>
          <w:szCs w:val="28"/>
          <w:lang w:val="es-ES_tradnl"/>
        </w:rPr>
        <w:t>s</w:t>
      </w:r>
      <w:r w:rsidR="009420C4" w:rsidRPr="007A763C">
        <w:rPr>
          <w:rFonts w:cs="Times New Roman"/>
          <w:color w:val="0D0D0D"/>
          <w:spacing w:val="1"/>
          <w:szCs w:val="28"/>
          <w:lang w:val="es-ES_tradnl"/>
        </w:rPr>
        <w:t xml:space="preserve"> presentado</w:t>
      </w:r>
      <w:r w:rsidR="00475F68" w:rsidRPr="007A763C">
        <w:rPr>
          <w:rFonts w:cs="Times New Roman"/>
          <w:color w:val="0D0D0D"/>
          <w:spacing w:val="1"/>
          <w:szCs w:val="28"/>
          <w:lang w:val="es-ES_tradnl"/>
        </w:rPr>
        <w:t>s</w:t>
      </w:r>
      <w:r w:rsidR="009420C4" w:rsidRPr="007A763C">
        <w:rPr>
          <w:rFonts w:cs="Times New Roman"/>
          <w:color w:val="0D0D0D"/>
          <w:spacing w:val="1"/>
          <w:szCs w:val="28"/>
          <w:lang w:val="es-ES_tradnl"/>
        </w:rPr>
        <w:t xml:space="preserve"> por el Gobierno Nacional </w:t>
      </w:r>
      <w:r w:rsidRPr="007A763C">
        <w:rPr>
          <w:rFonts w:cs="Times New Roman"/>
          <w:color w:val="000000"/>
          <w:spacing w:val="-5"/>
          <w:szCs w:val="28"/>
          <w:lang w:val="es-ES_tradnl"/>
        </w:rPr>
        <w:t>e</w:t>
      </w:r>
      <w:r w:rsidRPr="007A763C">
        <w:rPr>
          <w:rFonts w:cs="Times New Roman"/>
          <w:color w:val="000000"/>
          <w:szCs w:val="28"/>
          <w:lang w:val="es-ES_tradnl"/>
        </w:rPr>
        <w:t>n el</w:t>
      </w:r>
      <w:r w:rsidRPr="007A763C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-5"/>
          <w:szCs w:val="28"/>
          <w:lang w:val="es-ES_tradnl"/>
        </w:rPr>
        <w:t>m</w:t>
      </w:r>
      <w:r w:rsidRPr="007A763C">
        <w:rPr>
          <w:rFonts w:cs="Times New Roman"/>
          <w:color w:val="000000"/>
          <w:szCs w:val="28"/>
          <w:lang w:val="es-ES_tradnl"/>
        </w:rPr>
        <w:t>arco</w:t>
      </w:r>
      <w:r w:rsidRPr="007A763C">
        <w:rPr>
          <w:rFonts w:cs="Times New Roman"/>
          <w:color w:val="000000"/>
          <w:spacing w:val="4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d</w:t>
      </w:r>
      <w:r w:rsidRPr="007A763C">
        <w:rPr>
          <w:rFonts w:cs="Times New Roman"/>
          <w:color w:val="000000"/>
          <w:szCs w:val="28"/>
          <w:lang w:val="es-ES_tradnl"/>
        </w:rPr>
        <w:t>el</w:t>
      </w:r>
      <w:r w:rsidRPr="007A763C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s</w:t>
      </w:r>
      <w:r w:rsidRPr="007A763C">
        <w:rPr>
          <w:rFonts w:cs="Times New Roman"/>
          <w:color w:val="000000"/>
          <w:szCs w:val="28"/>
          <w:lang w:val="es-ES_tradnl"/>
        </w:rPr>
        <w:t>e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g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ui</w:t>
      </w:r>
      <w:r w:rsidRPr="007A763C">
        <w:rPr>
          <w:rFonts w:cs="Times New Roman"/>
          <w:color w:val="000000"/>
          <w:spacing w:val="-5"/>
          <w:szCs w:val="28"/>
          <w:lang w:val="es-ES_tradnl"/>
        </w:rPr>
        <w:t>m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i</w:t>
      </w:r>
      <w:r w:rsidRPr="007A763C">
        <w:rPr>
          <w:rFonts w:cs="Times New Roman"/>
          <w:color w:val="000000"/>
          <w:szCs w:val="28"/>
          <w:lang w:val="es-ES_tradnl"/>
        </w:rPr>
        <w:t>e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n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t</w:t>
      </w:r>
      <w:r w:rsidRPr="007A763C">
        <w:rPr>
          <w:rFonts w:cs="Times New Roman"/>
          <w:color w:val="000000"/>
          <w:szCs w:val="28"/>
          <w:lang w:val="es-ES_tradnl"/>
        </w:rPr>
        <w:t>o</w:t>
      </w:r>
      <w:r w:rsidRPr="007A763C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zCs w:val="28"/>
          <w:lang w:val="es-ES_tradnl"/>
        </w:rPr>
        <w:t>a</w:t>
      </w:r>
      <w:r w:rsidRPr="007A763C">
        <w:rPr>
          <w:rFonts w:cs="Times New Roman"/>
          <w:color w:val="000000"/>
          <w:spacing w:val="3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l</w:t>
      </w:r>
      <w:r w:rsidRPr="007A763C">
        <w:rPr>
          <w:rFonts w:cs="Times New Roman"/>
          <w:color w:val="000000"/>
          <w:szCs w:val="28"/>
          <w:lang w:val="es-ES_tradnl"/>
        </w:rPr>
        <w:t xml:space="preserve">a 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S</w:t>
      </w:r>
      <w:r w:rsidRPr="007A763C">
        <w:rPr>
          <w:rFonts w:cs="Times New Roman"/>
          <w:color w:val="000000"/>
          <w:spacing w:val="-2"/>
          <w:szCs w:val="28"/>
          <w:lang w:val="es-ES_tradnl"/>
        </w:rPr>
        <w:t>e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nt</w:t>
      </w:r>
      <w:r w:rsidRPr="007A763C">
        <w:rPr>
          <w:rFonts w:cs="Times New Roman"/>
          <w:color w:val="000000"/>
          <w:spacing w:val="-2"/>
          <w:szCs w:val="28"/>
          <w:lang w:val="es-ES_tradnl"/>
        </w:rPr>
        <w:t>e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n</w:t>
      </w:r>
      <w:r w:rsidRPr="007A763C">
        <w:rPr>
          <w:rFonts w:cs="Times New Roman"/>
          <w:color w:val="000000"/>
          <w:spacing w:val="-2"/>
          <w:szCs w:val="28"/>
          <w:lang w:val="es-ES_tradnl"/>
        </w:rPr>
        <w:t>c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i</w:t>
      </w:r>
      <w:r w:rsidRPr="007A763C">
        <w:rPr>
          <w:rFonts w:cs="Times New Roman"/>
          <w:color w:val="000000"/>
          <w:szCs w:val="28"/>
          <w:lang w:val="es-ES_tradnl"/>
        </w:rPr>
        <w:t xml:space="preserve">a 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T</w:t>
      </w:r>
      <w:r w:rsidRPr="007A763C">
        <w:rPr>
          <w:rFonts w:cs="Times New Roman"/>
          <w:color w:val="000000"/>
          <w:szCs w:val="28"/>
          <w:lang w:val="es-ES_tradnl"/>
        </w:rPr>
        <w:t>-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0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2</w:t>
      </w:r>
      <w:r w:rsidRPr="007A763C">
        <w:rPr>
          <w:rFonts w:cs="Times New Roman"/>
          <w:color w:val="000000"/>
          <w:szCs w:val="28"/>
          <w:lang w:val="es-ES_tradnl"/>
        </w:rPr>
        <w:t>5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-2"/>
          <w:szCs w:val="28"/>
          <w:lang w:val="es-ES_tradnl"/>
        </w:rPr>
        <w:t>d</w:t>
      </w:r>
      <w:r w:rsidRPr="007A763C">
        <w:rPr>
          <w:rFonts w:cs="Times New Roman"/>
          <w:color w:val="000000"/>
          <w:szCs w:val="28"/>
          <w:lang w:val="es-ES_tradnl"/>
        </w:rPr>
        <w:t xml:space="preserve">e </w:t>
      </w:r>
      <w:r w:rsidRPr="007A763C">
        <w:rPr>
          <w:rFonts w:cs="Times New Roman"/>
          <w:color w:val="000000"/>
          <w:spacing w:val="-2"/>
          <w:szCs w:val="28"/>
          <w:lang w:val="es-ES_tradnl"/>
        </w:rPr>
        <w:t>2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0</w:t>
      </w:r>
      <w:r w:rsidRPr="007A763C">
        <w:rPr>
          <w:rFonts w:cs="Times New Roman"/>
          <w:color w:val="000000"/>
          <w:spacing w:val="-1"/>
          <w:szCs w:val="28"/>
          <w:lang w:val="es-ES_tradnl"/>
        </w:rPr>
        <w:t>0</w:t>
      </w:r>
      <w:r w:rsidRPr="007A763C">
        <w:rPr>
          <w:rFonts w:cs="Times New Roman"/>
          <w:color w:val="000000"/>
          <w:szCs w:val="28"/>
          <w:lang w:val="es-ES_tradnl"/>
        </w:rPr>
        <w:t>4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zCs w:val="28"/>
          <w:lang w:val="es-ES_tradnl"/>
        </w:rPr>
        <w:t>y</w:t>
      </w:r>
      <w:r w:rsidRPr="007A763C">
        <w:rPr>
          <w:rFonts w:cs="Times New Roman"/>
          <w:color w:val="000000"/>
          <w:spacing w:val="-3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>s</w:t>
      </w:r>
      <w:r w:rsidRPr="007A763C">
        <w:rPr>
          <w:rFonts w:cs="Times New Roman"/>
          <w:color w:val="000000"/>
          <w:szCs w:val="28"/>
          <w:lang w:val="es-ES_tradnl"/>
        </w:rPr>
        <w:t>us</w:t>
      </w:r>
      <w:r w:rsidRPr="007A763C">
        <w:rPr>
          <w:rFonts w:cs="Times New Roman"/>
          <w:color w:val="000000"/>
          <w:spacing w:val="1"/>
          <w:szCs w:val="28"/>
          <w:lang w:val="es-ES_tradnl"/>
        </w:rPr>
        <w:t xml:space="preserve"> </w:t>
      </w:r>
      <w:r w:rsidRPr="007A763C">
        <w:rPr>
          <w:rFonts w:cs="Times New Roman"/>
          <w:color w:val="000000"/>
          <w:spacing w:val="-3"/>
          <w:szCs w:val="28"/>
          <w:lang w:val="es-ES_tradnl"/>
        </w:rPr>
        <w:t>autos complementarios</w:t>
      </w:r>
      <w:r w:rsidR="00574D76" w:rsidRPr="007A763C">
        <w:rPr>
          <w:rFonts w:cs="Times New Roman"/>
          <w:color w:val="000000"/>
          <w:szCs w:val="28"/>
          <w:lang w:val="es-ES_tradnl"/>
        </w:rPr>
        <w:t>, en particular en cumplimiento del Auto 620 de 2017.</w:t>
      </w:r>
    </w:p>
    <w:p w:rsidR="009D39C4" w:rsidRPr="007A763C" w:rsidRDefault="009D39C4" w:rsidP="00574D76">
      <w:pPr>
        <w:ind w:right="71"/>
        <w:rPr>
          <w:rFonts w:cs="Times New Roman"/>
          <w:color w:val="000000"/>
          <w:szCs w:val="28"/>
          <w:lang w:val="es-ES_tradnl"/>
        </w:rPr>
      </w:pPr>
    </w:p>
    <w:p w:rsidR="00B23F96" w:rsidRPr="007A763C" w:rsidRDefault="00B23F96" w:rsidP="00B23F96">
      <w:pPr>
        <w:ind w:left="4351" w:right="71"/>
        <w:rPr>
          <w:rFonts w:cs="Times New Roman"/>
          <w:szCs w:val="28"/>
          <w:lang w:val="es-ES_tradnl"/>
        </w:rPr>
      </w:pPr>
    </w:p>
    <w:p w:rsidR="00B23F96" w:rsidRPr="007A763C" w:rsidRDefault="009D39C4" w:rsidP="00B23F96">
      <w:pPr>
        <w:ind w:right="71"/>
        <w:rPr>
          <w:rFonts w:cs="Times New Roman"/>
          <w:color w:val="0D0D0D" w:themeColor="text1" w:themeTint="F2"/>
          <w:szCs w:val="28"/>
        </w:rPr>
      </w:pPr>
      <w:r w:rsidRPr="007A763C">
        <w:rPr>
          <w:rFonts w:cs="Times New Roman"/>
          <w:color w:val="0D0D0D"/>
          <w:szCs w:val="28"/>
          <w:lang w:val="es-ES_tradnl"/>
        </w:rPr>
        <w:t>B</w:t>
      </w:r>
      <w:r w:rsidRPr="007A763C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7A763C">
        <w:rPr>
          <w:rFonts w:cs="Times New Roman"/>
          <w:color w:val="0D0D0D"/>
          <w:spacing w:val="1"/>
          <w:szCs w:val="28"/>
          <w:lang w:val="es-ES_tradnl"/>
        </w:rPr>
        <w:t>g</w:t>
      </w:r>
      <w:r w:rsidRPr="007A763C">
        <w:rPr>
          <w:rFonts w:cs="Times New Roman"/>
          <w:color w:val="0D0D0D"/>
          <w:spacing w:val="-1"/>
          <w:szCs w:val="28"/>
          <w:lang w:val="es-ES_tradnl"/>
        </w:rPr>
        <w:t>o</w:t>
      </w:r>
      <w:r w:rsidRPr="007A763C">
        <w:rPr>
          <w:rFonts w:cs="Times New Roman"/>
          <w:color w:val="0D0D0D"/>
          <w:spacing w:val="1"/>
          <w:szCs w:val="28"/>
          <w:lang w:val="es-ES_tradnl"/>
        </w:rPr>
        <w:t>t</w:t>
      </w:r>
      <w:r w:rsidRPr="007A763C">
        <w:rPr>
          <w:rFonts w:cs="Times New Roman"/>
          <w:color w:val="0D0D0D"/>
          <w:szCs w:val="28"/>
          <w:lang w:val="es-ES_tradnl"/>
        </w:rPr>
        <w:t xml:space="preserve">á </w:t>
      </w:r>
      <w:r w:rsidRPr="007A763C">
        <w:rPr>
          <w:rFonts w:cs="Times New Roman"/>
          <w:color w:val="0D0D0D"/>
          <w:spacing w:val="-2"/>
          <w:szCs w:val="28"/>
          <w:lang w:val="es-ES_tradnl"/>
        </w:rPr>
        <w:t>D</w:t>
      </w:r>
      <w:r w:rsidRPr="007A763C">
        <w:rPr>
          <w:rFonts w:cs="Times New Roman"/>
          <w:color w:val="0D0D0D"/>
          <w:szCs w:val="28"/>
          <w:lang w:val="es-ES_tradnl"/>
        </w:rPr>
        <w:t>.C</w:t>
      </w:r>
      <w:r w:rsidR="005268C6" w:rsidRPr="007A763C">
        <w:rPr>
          <w:rFonts w:cs="Times New Roman"/>
          <w:color w:val="0D0D0D" w:themeColor="text1" w:themeTint="F2"/>
          <w:szCs w:val="28"/>
        </w:rPr>
        <w:t xml:space="preserve">., </w:t>
      </w:r>
      <w:r w:rsidR="00F72C82">
        <w:rPr>
          <w:rFonts w:cs="Times New Roman"/>
          <w:color w:val="0D0D0D" w:themeColor="text1" w:themeTint="F2"/>
          <w:szCs w:val="28"/>
        </w:rPr>
        <w:t>dieciocho (19</w:t>
      </w:r>
      <w:bookmarkStart w:id="0" w:name="_GoBack"/>
      <w:bookmarkEnd w:id="0"/>
      <w:r w:rsidR="005268C6" w:rsidRPr="007A763C">
        <w:rPr>
          <w:rFonts w:cs="Times New Roman"/>
          <w:color w:val="0D0D0D" w:themeColor="text1" w:themeTint="F2"/>
          <w:szCs w:val="28"/>
        </w:rPr>
        <w:t>) de octubre de dos mil dieciocho (2018).</w:t>
      </w:r>
    </w:p>
    <w:p w:rsidR="005268C6" w:rsidRPr="007A763C" w:rsidRDefault="005268C6" w:rsidP="00B23F96">
      <w:pPr>
        <w:ind w:right="71"/>
        <w:rPr>
          <w:rFonts w:cs="Times New Roman"/>
          <w:szCs w:val="28"/>
          <w:lang w:val="es-ES_tradnl"/>
        </w:rPr>
      </w:pPr>
    </w:p>
    <w:p w:rsidR="009D39C4" w:rsidRPr="007A763C" w:rsidRDefault="009D39C4" w:rsidP="00B23F96">
      <w:pPr>
        <w:pStyle w:val="Sinespaciado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La suscrita Magistrada Presidente de la Sala Especial de Seguimiento a la </w:t>
      </w:r>
      <w:r w:rsidRPr="007A763C">
        <w:rPr>
          <w:b/>
          <w:sz w:val="28"/>
          <w:szCs w:val="28"/>
          <w:lang w:val="es-ES_tradnl"/>
        </w:rPr>
        <w:t>Sentencia T-025 de 2004</w:t>
      </w:r>
      <w:r w:rsidRPr="007A763C">
        <w:rPr>
          <w:sz w:val="28"/>
          <w:szCs w:val="28"/>
          <w:lang w:val="es-ES_tradnl"/>
        </w:rPr>
        <w:t>, en uso de sus facultades constitucionales y legales, profiere el presente auto a partir de las siguientes:</w:t>
      </w:r>
    </w:p>
    <w:p w:rsidR="00CB5FEB" w:rsidRPr="007A763C" w:rsidRDefault="00CB5FEB" w:rsidP="00B23F96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7A763C">
        <w:rPr>
          <w:b/>
          <w:sz w:val="28"/>
          <w:szCs w:val="28"/>
          <w:lang w:val="es-ES_tradnl"/>
        </w:rPr>
        <w:t>CONSIDERACIONES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Por medio de la </w:t>
      </w:r>
      <w:r w:rsidRPr="007A763C">
        <w:rPr>
          <w:b/>
          <w:sz w:val="28"/>
          <w:szCs w:val="28"/>
          <w:lang w:val="es-ES_tradnl"/>
        </w:rPr>
        <w:t>Sentencia T-025 de 2004</w:t>
      </w:r>
      <w:r w:rsidRPr="007A763C">
        <w:rPr>
          <w:sz w:val="28"/>
          <w:szCs w:val="28"/>
          <w:lang w:val="es-ES_tradnl"/>
        </w:rPr>
        <w:t xml:space="preserve"> la Corte Constitucional declaró la existencia de un </w:t>
      </w:r>
      <w:r w:rsidR="00475F68" w:rsidRPr="007A763C">
        <w:rPr>
          <w:sz w:val="28"/>
          <w:szCs w:val="28"/>
          <w:lang w:val="es-ES_tradnl"/>
        </w:rPr>
        <w:t xml:space="preserve">Estado </w:t>
      </w:r>
      <w:r w:rsidRPr="007A763C">
        <w:rPr>
          <w:sz w:val="28"/>
          <w:szCs w:val="28"/>
          <w:lang w:val="es-ES_tradnl"/>
        </w:rPr>
        <w:t xml:space="preserve">de </w:t>
      </w:r>
      <w:r w:rsidR="00475F68" w:rsidRPr="007A763C">
        <w:rPr>
          <w:sz w:val="28"/>
          <w:szCs w:val="28"/>
          <w:lang w:val="es-ES_tradnl"/>
        </w:rPr>
        <w:t xml:space="preserve">Cosas Inconstitucional </w:t>
      </w:r>
      <w:r w:rsidRPr="007A763C">
        <w:rPr>
          <w:sz w:val="28"/>
          <w:szCs w:val="28"/>
          <w:lang w:val="es-ES_tradnl"/>
        </w:rPr>
        <w:t xml:space="preserve">en materia de desplazamiento forzado, como consecuencia de la vulneración grave, masiva y sistemática de los derechos fundamentales de la población desplazada. Esto, debido principalmente a la precaria capacidad institucional del Estado para atender a dicha población y a la insuficiencia de recursos para tales efectos. 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>En tal virtud, esta Corporación ha mantenido su competencia, de acuerdo a lo establecido en el artículo 27 del Decreto 2591 de 1991, el cual dispone que “</w:t>
      </w:r>
      <w:r w:rsidRPr="007A763C">
        <w:rPr>
          <w:i/>
          <w:sz w:val="28"/>
          <w:szCs w:val="28"/>
          <w:lang w:val="es-ES_tradnl"/>
        </w:rPr>
        <w:t>el juez (…) mantendrá la competencia hasta que esté completamente restablecido el derecho o eliminadas las causas de la amenaza</w:t>
      </w:r>
      <w:r w:rsidRPr="007A763C">
        <w:rPr>
          <w:sz w:val="28"/>
          <w:szCs w:val="28"/>
          <w:lang w:val="es-ES_tradnl"/>
        </w:rPr>
        <w:t>”</w:t>
      </w:r>
      <w:r w:rsidR="00574D76" w:rsidRPr="007A763C">
        <w:rPr>
          <w:sz w:val="28"/>
          <w:szCs w:val="28"/>
          <w:lang w:val="es-ES_tradnl"/>
        </w:rPr>
        <w:t>.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Mediante el </w:t>
      </w:r>
      <w:r w:rsidRPr="007A763C">
        <w:rPr>
          <w:b/>
          <w:sz w:val="28"/>
          <w:szCs w:val="28"/>
          <w:lang w:val="es-ES_tradnl"/>
        </w:rPr>
        <w:t xml:space="preserve">Auto 620 de 2017 </w:t>
      </w:r>
      <w:r w:rsidRPr="007A763C">
        <w:rPr>
          <w:sz w:val="28"/>
          <w:szCs w:val="28"/>
          <w:lang w:val="es-ES_tradnl"/>
        </w:rPr>
        <w:t xml:space="preserve">la Sala Especial de Seguimiento ordenó la adopción de una serie de medidas urgentes para la protección de la población afrodescendiente e indígena de la costa nariñense, en el marco del seguimiento al cumplimiento de la </w:t>
      </w:r>
      <w:r w:rsidRPr="007A763C">
        <w:rPr>
          <w:b/>
          <w:sz w:val="28"/>
          <w:szCs w:val="28"/>
          <w:lang w:val="es-ES_tradnl"/>
        </w:rPr>
        <w:t>Sentencia T-025 de 2004</w:t>
      </w:r>
      <w:r w:rsidRPr="007A763C">
        <w:rPr>
          <w:sz w:val="28"/>
          <w:szCs w:val="28"/>
          <w:lang w:val="es-ES_tradnl"/>
        </w:rPr>
        <w:t xml:space="preserve"> y sus autos complementarios, en especial los </w:t>
      </w:r>
      <w:r w:rsidRPr="007A763C">
        <w:rPr>
          <w:b/>
          <w:sz w:val="28"/>
          <w:szCs w:val="28"/>
          <w:lang w:val="es-ES_tradnl"/>
        </w:rPr>
        <w:t>Autos 004 y 005 de 2009, 174 de 2011, 073 de 2014 y 373 de 2016</w:t>
      </w:r>
      <w:r w:rsidRPr="007A763C">
        <w:rPr>
          <w:sz w:val="28"/>
          <w:szCs w:val="28"/>
          <w:lang w:val="es-ES_tradnl"/>
        </w:rPr>
        <w:t xml:space="preserve">. </w:t>
      </w:r>
    </w:p>
    <w:p w:rsidR="00B23F96" w:rsidRPr="007A763C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En cumplimiento del </w:t>
      </w:r>
      <w:r w:rsidRPr="007A763C">
        <w:rPr>
          <w:b/>
          <w:sz w:val="28"/>
          <w:szCs w:val="28"/>
          <w:lang w:val="es-ES_tradnl"/>
        </w:rPr>
        <w:t>Auto 620 de 2017</w:t>
      </w:r>
      <w:r w:rsidRPr="007A763C">
        <w:rPr>
          <w:sz w:val="28"/>
          <w:szCs w:val="28"/>
          <w:lang w:val="es-ES_tradnl"/>
        </w:rPr>
        <w:t xml:space="preserve">, la Secretaría General de la Corte Constitucional recibió </w:t>
      </w:r>
      <w:r w:rsidR="00475F68" w:rsidRPr="007A763C">
        <w:rPr>
          <w:sz w:val="28"/>
          <w:szCs w:val="28"/>
          <w:lang w:val="es-ES_tradnl"/>
        </w:rPr>
        <w:t xml:space="preserve">dos informes remitidos por parte de la Vicepresidencia </w:t>
      </w:r>
      <w:r w:rsidR="00475F68" w:rsidRPr="007A763C">
        <w:rPr>
          <w:sz w:val="28"/>
          <w:szCs w:val="28"/>
          <w:lang w:val="es-ES_tradnl"/>
        </w:rPr>
        <w:lastRenderedPageBreak/>
        <w:t xml:space="preserve">de la República los días </w:t>
      </w:r>
      <w:r w:rsidR="009420C4" w:rsidRPr="007A763C">
        <w:rPr>
          <w:sz w:val="28"/>
          <w:szCs w:val="28"/>
          <w:lang w:val="es-ES_tradnl"/>
        </w:rPr>
        <w:t xml:space="preserve">6 de </w:t>
      </w:r>
      <w:r w:rsidR="005268C6" w:rsidRPr="007A763C">
        <w:rPr>
          <w:sz w:val="28"/>
          <w:szCs w:val="28"/>
          <w:lang w:val="es-ES_tradnl"/>
        </w:rPr>
        <w:t>julio</w:t>
      </w:r>
      <w:r w:rsidR="009420C4" w:rsidRPr="007A763C">
        <w:rPr>
          <w:sz w:val="28"/>
          <w:szCs w:val="28"/>
          <w:lang w:val="es-ES_tradnl"/>
        </w:rPr>
        <w:t xml:space="preserve"> </w:t>
      </w:r>
      <w:r w:rsidR="00BA3316" w:rsidRPr="007A763C">
        <w:rPr>
          <w:sz w:val="28"/>
          <w:szCs w:val="28"/>
          <w:lang w:val="es-ES_tradnl"/>
        </w:rPr>
        <w:t xml:space="preserve">y 3 de agosto </w:t>
      </w:r>
      <w:r w:rsidR="009420C4" w:rsidRPr="007A763C">
        <w:rPr>
          <w:sz w:val="28"/>
          <w:szCs w:val="28"/>
          <w:lang w:val="es-ES_tradnl"/>
        </w:rPr>
        <w:t xml:space="preserve">del año en curso. </w:t>
      </w:r>
      <w:r w:rsidR="00BA3316" w:rsidRPr="007A763C">
        <w:rPr>
          <w:sz w:val="28"/>
          <w:szCs w:val="28"/>
          <w:lang w:val="es-ES_tradnl"/>
        </w:rPr>
        <w:t>Los</w:t>
      </w:r>
      <w:r w:rsidR="009420C4" w:rsidRPr="007A763C">
        <w:rPr>
          <w:sz w:val="28"/>
          <w:szCs w:val="28"/>
          <w:lang w:val="es-ES_tradnl"/>
        </w:rPr>
        <w:t xml:space="preserve"> citado</w:t>
      </w:r>
      <w:r w:rsidR="00BA3316" w:rsidRPr="007A763C">
        <w:rPr>
          <w:sz w:val="28"/>
          <w:szCs w:val="28"/>
          <w:lang w:val="es-ES_tradnl"/>
        </w:rPr>
        <w:t>s</w:t>
      </w:r>
      <w:r w:rsidR="009420C4" w:rsidRPr="007A763C">
        <w:rPr>
          <w:sz w:val="28"/>
          <w:szCs w:val="28"/>
          <w:lang w:val="es-ES_tradnl"/>
        </w:rPr>
        <w:t xml:space="preserve"> documento</w:t>
      </w:r>
      <w:r w:rsidR="00BA3316" w:rsidRPr="007A763C">
        <w:rPr>
          <w:sz w:val="28"/>
          <w:szCs w:val="28"/>
          <w:lang w:val="es-ES_tradnl"/>
        </w:rPr>
        <w:t>s</w:t>
      </w:r>
      <w:r w:rsidR="009420C4" w:rsidRPr="007A763C">
        <w:rPr>
          <w:sz w:val="28"/>
          <w:szCs w:val="28"/>
          <w:lang w:val="es-ES_tradnl"/>
        </w:rPr>
        <w:t xml:space="preserve"> se relaciona</w:t>
      </w:r>
      <w:r w:rsidR="00BA3316" w:rsidRPr="007A763C">
        <w:rPr>
          <w:sz w:val="28"/>
          <w:szCs w:val="28"/>
          <w:lang w:val="es-ES_tradnl"/>
        </w:rPr>
        <w:t>n</w:t>
      </w:r>
      <w:r w:rsidR="009420C4" w:rsidRPr="007A763C">
        <w:rPr>
          <w:sz w:val="28"/>
          <w:szCs w:val="28"/>
          <w:lang w:val="es-ES_tradnl"/>
        </w:rPr>
        <w:t xml:space="preserve"> a continuación</w:t>
      </w:r>
      <w:r w:rsidRPr="007A763C">
        <w:rPr>
          <w:sz w:val="28"/>
          <w:szCs w:val="28"/>
          <w:lang w:val="es-ES_tradnl"/>
        </w:rPr>
        <w:t>:</w:t>
      </w:r>
    </w:p>
    <w:p w:rsidR="00B23F96" w:rsidRPr="007A763C" w:rsidRDefault="00B23F96" w:rsidP="00B23F96">
      <w:pPr>
        <w:pStyle w:val="Sinespaciado"/>
        <w:jc w:val="both"/>
        <w:rPr>
          <w:sz w:val="28"/>
          <w:szCs w:val="28"/>
          <w:lang w:val="es-ES_tradnl"/>
        </w:rPr>
      </w:pPr>
    </w:p>
    <w:tbl>
      <w:tblPr>
        <w:tblStyle w:val="Tablaconcuadrcula"/>
        <w:tblW w:w="87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4253"/>
        <w:gridCol w:w="2126"/>
      </w:tblGrid>
      <w:tr w:rsidR="009D39C4" w:rsidRPr="007A763C" w:rsidTr="00F664E3">
        <w:trPr>
          <w:trHeight w:val="334"/>
        </w:trPr>
        <w:tc>
          <w:tcPr>
            <w:tcW w:w="8760" w:type="dxa"/>
            <w:gridSpan w:val="3"/>
            <w:shd w:val="clear" w:color="auto" w:fill="A6A6A6" w:themeFill="background1" w:themeFillShade="A6"/>
          </w:tcPr>
          <w:p w:rsidR="00B23F96" w:rsidRPr="007A763C" w:rsidRDefault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A763C">
              <w:rPr>
                <w:b/>
                <w:sz w:val="28"/>
                <w:szCs w:val="28"/>
                <w:lang w:val="es-ES_tradnl"/>
              </w:rPr>
              <w:t>Informe</w:t>
            </w:r>
            <w:r w:rsidR="00C244D9" w:rsidRPr="007A763C">
              <w:rPr>
                <w:b/>
                <w:sz w:val="28"/>
                <w:szCs w:val="28"/>
                <w:lang w:val="es-ES_tradnl"/>
              </w:rPr>
              <w:t>s</w:t>
            </w:r>
            <w:r w:rsidRPr="007A763C">
              <w:rPr>
                <w:b/>
                <w:sz w:val="28"/>
                <w:szCs w:val="28"/>
                <w:lang w:val="es-ES_tradnl"/>
              </w:rPr>
              <w:t xml:space="preserve"> Remitido</w:t>
            </w:r>
            <w:r w:rsidR="00C244D9" w:rsidRPr="007A763C">
              <w:rPr>
                <w:b/>
                <w:sz w:val="28"/>
                <w:szCs w:val="28"/>
                <w:lang w:val="es-ES_tradnl"/>
              </w:rPr>
              <w:t>s</w:t>
            </w:r>
            <w:r w:rsidR="009D39C4" w:rsidRPr="007A763C">
              <w:rPr>
                <w:b/>
                <w:sz w:val="28"/>
                <w:szCs w:val="28"/>
                <w:lang w:val="es-ES_tradnl"/>
              </w:rPr>
              <w:t xml:space="preserve"> por el Gobierno Nacional</w:t>
            </w:r>
          </w:p>
        </w:tc>
      </w:tr>
      <w:tr w:rsidR="009D39C4" w:rsidRPr="007A763C" w:rsidTr="00F664E3">
        <w:trPr>
          <w:trHeight w:val="320"/>
        </w:trPr>
        <w:tc>
          <w:tcPr>
            <w:tcW w:w="2381" w:type="dxa"/>
            <w:shd w:val="clear" w:color="auto" w:fill="A6A6A6" w:themeFill="background1" w:themeFillShade="A6"/>
          </w:tcPr>
          <w:p w:rsidR="009D39C4" w:rsidRPr="007A763C" w:rsidRDefault="009D39C4" w:rsidP="00526053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A763C">
              <w:rPr>
                <w:b/>
                <w:sz w:val="28"/>
                <w:szCs w:val="28"/>
                <w:lang w:val="es-ES_tradnl"/>
              </w:rPr>
              <w:t>Entidad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B23F96" w:rsidRPr="007A763C" w:rsidRDefault="009D39C4" w:rsidP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A763C">
              <w:rPr>
                <w:b/>
                <w:sz w:val="28"/>
                <w:szCs w:val="28"/>
                <w:lang w:val="es-ES_tradnl"/>
              </w:rPr>
              <w:t xml:space="preserve">Nombre del Informe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39C4" w:rsidRPr="007A763C" w:rsidRDefault="009420C4" w:rsidP="009420C4">
            <w:pPr>
              <w:pStyle w:val="Sinespaciad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7A763C">
              <w:rPr>
                <w:b/>
                <w:sz w:val="28"/>
                <w:szCs w:val="28"/>
                <w:lang w:val="es-ES_tradnl"/>
              </w:rPr>
              <w:t>Fecha</w:t>
            </w:r>
          </w:p>
        </w:tc>
      </w:tr>
      <w:tr w:rsidR="009D39C4" w:rsidRPr="007A763C" w:rsidTr="00F664E3">
        <w:trPr>
          <w:trHeight w:val="552"/>
        </w:trPr>
        <w:tc>
          <w:tcPr>
            <w:tcW w:w="2381" w:type="dxa"/>
            <w:vAlign w:val="center"/>
          </w:tcPr>
          <w:p w:rsidR="009D39C4" w:rsidRPr="007A763C" w:rsidRDefault="00475F68" w:rsidP="00526053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>Vicepresidencia de la República</w:t>
            </w:r>
          </w:p>
        </w:tc>
        <w:tc>
          <w:tcPr>
            <w:tcW w:w="4253" w:type="dxa"/>
            <w:vAlign w:val="center"/>
          </w:tcPr>
          <w:p w:rsidR="00B23F96" w:rsidRPr="007A763C" w:rsidRDefault="009D39C4" w:rsidP="009420C4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>Alcance al segundo Informe de C</w:t>
            </w:r>
            <w:r w:rsidR="009420C4" w:rsidRPr="007A763C">
              <w:rPr>
                <w:sz w:val="28"/>
                <w:szCs w:val="28"/>
                <w:lang w:val="es-ES_tradnl"/>
              </w:rPr>
              <w:t>umplimiento al Auto 620 de 2017</w:t>
            </w:r>
          </w:p>
        </w:tc>
        <w:tc>
          <w:tcPr>
            <w:tcW w:w="2126" w:type="dxa"/>
            <w:vAlign w:val="center"/>
          </w:tcPr>
          <w:p w:rsidR="009D39C4" w:rsidRPr="007A763C" w:rsidRDefault="009D39C4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>6 de julio de 2018</w:t>
            </w:r>
          </w:p>
        </w:tc>
      </w:tr>
      <w:tr w:rsidR="00BA3316" w:rsidRPr="007A763C" w:rsidTr="00F664E3">
        <w:trPr>
          <w:trHeight w:val="559"/>
        </w:trPr>
        <w:tc>
          <w:tcPr>
            <w:tcW w:w="2381" w:type="dxa"/>
            <w:vAlign w:val="center"/>
          </w:tcPr>
          <w:p w:rsidR="00BA3316" w:rsidRPr="007A763C" w:rsidRDefault="00475F68" w:rsidP="00D23674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>Vicepresidencia de la República</w:t>
            </w:r>
          </w:p>
        </w:tc>
        <w:tc>
          <w:tcPr>
            <w:tcW w:w="4253" w:type="dxa"/>
            <w:vAlign w:val="center"/>
          </w:tcPr>
          <w:p w:rsidR="00BA3316" w:rsidRPr="007A763C" w:rsidRDefault="00BA3316" w:rsidP="00D23674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>Tercer Informe de Cumplimiento al Auto 620 de 2017</w:t>
            </w:r>
          </w:p>
        </w:tc>
        <w:tc>
          <w:tcPr>
            <w:tcW w:w="2126" w:type="dxa"/>
            <w:vAlign w:val="center"/>
          </w:tcPr>
          <w:p w:rsidR="00BA3316" w:rsidRPr="007A763C" w:rsidRDefault="00627181" w:rsidP="00F664E3">
            <w:pPr>
              <w:pStyle w:val="Sinespaciado"/>
              <w:jc w:val="center"/>
              <w:rPr>
                <w:sz w:val="28"/>
                <w:szCs w:val="28"/>
                <w:lang w:val="es-ES_tradnl"/>
              </w:rPr>
            </w:pPr>
            <w:r w:rsidRPr="007A763C">
              <w:rPr>
                <w:sz w:val="28"/>
                <w:szCs w:val="28"/>
                <w:lang w:val="es-ES_tradnl"/>
              </w:rPr>
              <w:t xml:space="preserve">3 </w:t>
            </w:r>
            <w:r w:rsidR="00BA3316" w:rsidRPr="007A763C">
              <w:rPr>
                <w:sz w:val="28"/>
                <w:szCs w:val="28"/>
                <w:lang w:val="es-ES_tradnl"/>
              </w:rPr>
              <w:t>de agosto de 2018</w:t>
            </w:r>
          </w:p>
        </w:tc>
      </w:tr>
    </w:tbl>
    <w:p w:rsidR="00B23F96" w:rsidRPr="007A763C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7A763C" w:rsidRDefault="009D39C4" w:rsidP="00B22493">
      <w:pPr>
        <w:pStyle w:val="Sinespaciado"/>
        <w:numPr>
          <w:ilvl w:val="0"/>
          <w:numId w:val="1"/>
        </w:numPr>
        <w:ind w:left="0" w:firstLine="0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Considerando que se hace necesario poner en conocimiento de los organismos de control del Estado, de las comunidades y de los acompañantes del proceso de seguimiento </w:t>
      </w:r>
      <w:r w:rsidR="00627181" w:rsidRPr="007A763C">
        <w:rPr>
          <w:sz w:val="28"/>
          <w:szCs w:val="28"/>
          <w:lang w:val="es-ES_tradnl"/>
        </w:rPr>
        <w:t>los citados informes</w:t>
      </w:r>
      <w:r w:rsidRPr="007A763C">
        <w:rPr>
          <w:sz w:val="28"/>
          <w:szCs w:val="28"/>
          <w:lang w:val="es-ES_tradnl"/>
        </w:rPr>
        <w:t xml:space="preserve">, </w:t>
      </w:r>
      <w:r w:rsidR="00627181" w:rsidRPr="007A763C">
        <w:rPr>
          <w:sz w:val="28"/>
          <w:szCs w:val="28"/>
          <w:lang w:val="es-ES_tradnl"/>
        </w:rPr>
        <w:t xml:space="preserve">los </w:t>
      </w:r>
      <w:r w:rsidR="009420C4" w:rsidRPr="007A763C">
        <w:rPr>
          <w:sz w:val="28"/>
          <w:szCs w:val="28"/>
          <w:lang w:val="es-ES_tradnl"/>
        </w:rPr>
        <w:t>mismo</w:t>
      </w:r>
      <w:r w:rsidR="00627181" w:rsidRPr="007A763C">
        <w:rPr>
          <w:sz w:val="28"/>
          <w:szCs w:val="28"/>
          <w:lang w:val="es-ES_tradnl"/>
        </w:rPr>
        <w:t>s</w:t>
      </w:r>
      <w:r w:rsidRPr="007A763C">
        <w:rPr>
          <w:sz w:val="28"/>
          <w:szCs w:val="28"/>
          <w:lang w:val="es-ES_tradnl"/>
        </w:rPr>
        <w:t xml:space="preserve"> se pondrá</w:t>
      </w:r>
      <w:r w:rsidR="00627181" w:rsidRPr="007A763C">
        <w:rPr>
          <w:sz w:val="28"/>
          <w:szCs w:val="28"/>
          <w:lang w:val="es-ES_tradnl"/>
        </w:rPr>
        <w:t>n</w:t>
      </w:r>
      <w:r w:rsidRPr="007A763C">
        <w:rPr>
          <w:sz w:val="28"/>
          <w:szCs w:val="28"/>
          <w:lang w:val="es-ES_tradnl"/>
        </w:rPr>
        <w:t xml:space="preserve"> a su disposición en la Secretaría de esta Corporación, con arreglo a lo dispuesto en el artículo 64 del Reglamento Interno de la Corte Constitucional.</w:t>
      </w:r>
    </w:p>
    <w:p w:rsidR="007A763C" w:rsidRPr="007A763C" w:rsidRDefault="007A763C" w:rsidP="007A763C">
      <w:pPr>
        <w:pStyle w:val="Sinespaciado"/>
        <w:jc w:val="both"/>
        <w:rPr>
          <w:sz w:val="28"/>
          <w:szCs w:val="28"/>
          <w:lang w:val="es-ES_tradnl"/>
        </w:rPr>
      </w:pPr>
    </w:p>
    <w:p w:rsidR="007A763C" w:rsidRPr="007A763C" w:rsidRDefault="007A763C" w:rsidP="007A763C">
      <w:pPr>
        <w:pStyle w:val="Sinespaciado"/>
        <w:numPr>
          <w:ilvl w:val="0"/>
          <w:numId w:val="1"/>
        </w:numPr>
        <w:ind w:left="0" w:firstLine="0"/>
        <w:jc w:val="both"/>
        <w:rPr>
          <w:color w:val="222222"/>
          <w:sz w:val="28"/>
          <w:szCs w:val="28"/>
          <w:lang w:eastAsia="es-ES_tradnl"/>
        </w:rPr>
      </w:pPr>
      <w:r w:rsidRPr="007A763C">
        <w:rPr>
          <w:sz w:val="28"/>
          <w:szCs w:val="28"/>
          <w:lang w:val="es-ES_tradnl"/>
        </w:rPr>
        <w:t>Sin perjuicio de lo anterior, reconociendo las particularidades del proceso de seguimiento, así como las especiales condiciones en que se encuentran algunas de las autoridades locales y comunidades a las que van dirigidas éstas medidas</w:t>
      </w:r>
      <w:r w:rsidRPr="007A763C">
        <w:rPr>
          <w:rStyle w:val="Refdenotaalpie"/>
          <w:sz w:val="28"/>
          <w:szCs w:val="28"/>
          <w:lang w:val="es-ES_tradnl"/>
        </w:rPr>
        <w:footnoteReference w:id="1"/>
      </w:r>
      <w:r w:rsidRPr="007A763C">
        <w:rPr>
          <w:sz w:val="28"/>
          <w:szCs w:val="28"/>
          <w:lang w:val="es-ES_tradnl"/>
        </w:rPr>
        <w:t xml:space="preserve">; las instituciones del nivel local y las autoridades étnico-territoriales de las comunidades afrodescendientes o de los pueblos </w:t>
      </w:r>
      <w:proofErr w:type="spellStart"/>
      <w:r w:rsidRPr="007A763C">
        <w:rPr>
          <w:sz w:val="28"/>
          <w:szCs w:val="28"/>
        </w:rPr>
        <w:t>Awa</w:t>
      </w:r>
      <w:proofErr w:type="spellEnd"/>
      <w:r w:rsidRPr="007A763C">
        <w:rPr>
          <w:sz w:val="28"/>
          <w:szCs w:val="28"/>
        </w:rPr>
        <w:t xml:space="preserve">́ y </w:t>
      </w:r>
      <w:proofErr w:type="spellStart"/>
      <w:r w:rsidRPr="007A763C">
        <w:rPr>
          <w:sz w:val="28"/>
          <w:szCs w:val="28"/>
        </w:rPr>
        <w:t>Eperara-Siapidaara</w:t>
      </w:r>
      <w:proofErr w:type="spellEnd"/>
      <w:r w:rsidRPr="007A763C">
        <w:rPr>
          <w:sz w:val="28"/>
          <w:szCs w:val="28"/>
        </w:rPr>
        <w:t xml:space="preserve">, podrán solicitar los informes presentados por las entidades a través del correo electrónico: </w:t>
      </w:r>
      <w:hyperlink r:id="rId9" w:history="1">
        <w:r w:rsidRPr="007A763C">
          <w:rPr>
            <w:rStyle w:val="Hipervnculo"/>
            <w:sz w:val="28"/>
            <w:szCs w:val="28"/>
          </w:rPr>
          <w:t>desplazamientoforzado@corteconstitcuional.gov.co</w:t>
        </w:r>
      </w:hyperlink>
      <w:r w:rsidRPr="007A763C">
        <w:rPr>
          <w:sz w:val="28"/>
          <w:szCs w:val="28"/>
        </w:rPr>
        <w:t xml:space="preserve">. 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En mérito de lo expuesto, la suscrita Magistrada, </w:t>
      </w:r>
    </w:p>
    <w:p w:rsidR="00B23F96" w:rsidRPr="007A763C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7A763C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7A763C">
        <w:rPr>
          <w:b/>
          <w:sz w:val="28"/>
          <w:szCs w:val="28"/>
          <w:lang w:val="es-ES_tradnl"/>
        </w:rPr>
        <w:t>RESUELVE</w:t>
      </w:r>
    </w:p>
    <w:p w:rsidR="00B23F96" w:rsidRPr="007A763C" w:rsidRDefault="00B23F96" w:rsidP="009D39C4">
      <w:pPr>
        <w:pStyle w:val="Sinespaciado"/>
        <w:jc w:val="both"/>
        <w:rPr>
          <w:b/>
          <w:sz w:val="28"/>
          <w:szCs w:val="28"/>
          <w:lang w:val="es-ES_tradnl"/>
        </w:rPr>
      </w:pPr>
    </w:p>
    <w:p w:rsidR="00C244D9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7A763C">
        <w:rPr>
          <w:b/>
          <w:sz w:val="28"/>
          <w:szCs w:val="28"/>
          <w:lang w:val="es-ES_tradnl"/>
        </w:rPr>
        <w:t>PONER A DISPOSICIÓN</w:t>
      </w:r>
      <w:r w:rsidRPr="007A763C">
        <w:rPr>
          <w:sz w:val="28"/>
          <w:szCs w:val="28"/>
          <w:lang w:val="es-ES_tradnl"/>
        </w:rPr>
        <w:t xml:space="preserve"> de la Procuraduría General de la Nación, Defensoría del Pueblo, la Contraloría General de la República, las personerías municipales de El Charco</w:t>
      </w:r>
      <w:r w:rsidR="009D3B08" w:rsidRPr="007A763C">
        <w:rPr>
          <w:sz w:val="28"/>
          <w:szCs w:val="28"/>
          <w:lang w:val="es-ES_tradnl"/>
        </w:rPr>
        <w:t xml:space="preserve">, </w:t>
      </w:r>
      <w:r w:rsidRPr="007A763C">
        <w:rPr>
          <w:sz w:val="28"/>
          <w:szCs w:val="28"/>
          <w:lang w:val="es-ES_tradnl"/>
        </w:rPr>
        <w:t>La Tola, Olaya Herrera (</w:t>
      </w:r>
      <w:proofErr w:type="spellStart"/>
      <w:r w:rsidRPr="007A763C">
        <w:rPr>
          <w:sz w:val="28"/>
          <w:szCs w:val="28"/>
          <w:lang w:val="es-ES_tradnl"/>
        </w:rPr>
        <w:t>Satinga</w:t>
      </w:r>
      <w:proofErr w:type="spellEnd"/>
      <w:r w:rsidRPr="007A763C">
        <w:rPr>
          <w:sz w:val="28"/>
          <w:szCs w:val="28"/>
          <w:lang w:val="es-ES_tradnl"/>
        </w:rPr>
        <w:t xml:space="preserve">), Santa Bárbara de Iscuandé, Mosquera, Barbacoas, Magüí Payán, Roberto Payán, Francisco Pizarro y Tumaco, la Oficina del Alto Comisionado de Naciones Unidas para los Refugiados, al Consejo Noruego para los Refugiados y a la Comisión de Seguimiento a la Política Pública sobre Desplazamiento Forzado, en la Secretaría General de la Corte Constitucional y durante el término de quince (15) días el CD que contiene </w:t>
      </w:r>
      <w:r w:rsidR="00627181" w:rsidRPr="007A763C">
        <w:rPr>
          <w:sz w:val="28"/>
          <w:szCs w:val="28"/>
          <w:lang w:val="es-ES_tradnl"/>
        </w:rPr>
        <w:t xml:space="preserve">los </w:t>
      </w:r>
      <w:r w:rsidRPr="007A763C">
        <w:rPr>
          <w:sz w:val="28"/>
          <w:szCs w:val="28"/>
          <w:lang w:val="es-ES_tradnl"/>
        </w:rPr>
        <w:t>informe</w:t>
      </w:r>
      <w:r w:rsidR="00627181" w:rsidRPr="007A763C">
        <w:rPr>
          <w:sz w:val="28"/>
          <w:szCs w:val="28"/>
          <w:lang w:val="es-ES_tradnl"/>
        </w:rPr>
        <w:t>s</w:t>
      </w:r>
      <w:r w:rsidR="009420C4" w:rsidRPr="007A763C">
        <w:rPr>
          <w:sz w:val="28"/>
          <w:szCs w:val="28"/>
          <w:lang w:val="es-ES_tradnl"/>
        </w:rPr>
        <w:t xml:space="preserve"> relacionado</w:t>
      </w:r>
      <w:r w:rsidR="00627181" w:rsidRPr="007A763C">
        <w:rPr>
          <w:sz w:val="28"/>
          <w:szCs w:val="28"/>
          <w:lang w:val="es-ES_tradnl"/>
        </w:rPr>
        <w:t>s</w:t>
      </w:r>
      <w:r w:rsidRPr="007A763C">
        <w:rPr>
          <w:sz w:val="28"/>
          <w:szCs w:val="28"/>
          <w:lang w:val="es-ES_tradnl"/>
        </w:rPr>
        <w:t xml:space="preserve"> en </w:t>
      </w:r>
      <w:r w:rsidR="00280B08" w:rsidRPr="007A763C">
        <w:rPr>
          <w:sz w:val="28"/>
          <w:szCs w:val="28"/>
          <w:lang w:val="es-ES_tradnl"/>
        </w:rPr>
        <w:t xml:space="preserve">fundamento jurídico cuatro </w:t>
      </w:r>
      <w:r w:rsidRPr="007A763C">
        <w:rPr>
          <w:sz w:val="28"/>
          <w:szCs w:val="28"/>
          <w:lang w:val="es-ES_tradnl"/>
        </w:rPr>
        <w:t>de esta providencia.</w:t>
      </w:r>
    </w:p>
    <w:p w:rsidR="007A763C" w:rsidRDefault="007A763C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7A763C" w:rsidRPr="007A763C" w:rsidRDefault="007A763C" w:rsidP="009D39C4">
      <w:pPr>
        <w:pStyle w:val="Sinespaciad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Conforme con lo anterior, </w:t>
      </w:r>
      <w:r w:rsidRPr="007A763C">
        <w:rPr>
          <w:sz w:val="28"/>
          <w:szCs w:val="28"/>
          <w:lang w:val="es-ES_tradnl"/>
        </w:rPr>
        <w:t xml:space="preserve">las autoridades locales y comunidades a las que van dirigidas </w:t>
      </w:r>
      <w:r>
        <w:rPr>
          <w:sz w:val="28"/>
          <w:szCs w:val="28"/>
          <w:lang w:val="es-ES_tradnl"/>
        </w:rPr>
        <w:t>las</w:t>
      </w:r>
      <w:r w:rsidRPr="007A763C">
        <w:rPr>
          <w:sz w:val="28"/>
          <w:szCs w:val="28"/>
          <w:lang w:val="es-ES_tradnl"/>
        </w:rPr>
        <w:t xml:space="preserve"> medidas</w:t>
      </w:r>
      <w:r>
        <w:rPr>
          <w:sz w:val="28"/>
          <w:szCs w:val="28"/>
          <w:lang w:val="es-ES_tradnl"/>
        </w:rPr>
        <w:t xml:space="preserve"> ordenadas en el Auto 620 de 2017,</w:t>
      </w:r>
      <w:r w:rsidRPr="007A763C">
        <w:rPr>
          <w:sz w:val="28"/>
          <w:szCs w:val="28"/>
          <w:lang w:val="es-ES_tradnl"/>
        </w:rPr>
        <w:t xml:space="preserve"> las instituciones del nivel local y las autoridades étnico-territoriales de las comunidades afrodescendientes o de los pueblos </w:t>
      </w:r>
      <w:proofErr w:type="spellStart"/>
      <w:r w:rsidRPr="007A763C">
        <w:rPr>
          <w:sz w:val="28"/>
          <w:szCs w:val="28"/>
        </w:rPr>
        <w:t>Awa</w:t>
      </w:r>
      <w:proofErr w:type="spellEnd"/>
      <w:r w:rsidRPr="007A763C">
        <w:rPr>
          <w:sz w:val="28"/>
          <w:szCs w:val="28"/>
        </w:rPr>
        <w:t xml:space="preserve">́ y </w:t>
      </w:r>
      <w:proofErr w:type="spellStart"/>
      <w:r w:rsidRPr="007A763C">
        <w:rPr>
          <w:sz w:val="28"/>
          <w:szCs w:val="28"/>
        </w:rPr>
        <w:t>Eperara-Siapidaara</w:t>
      </w:r>
      <w:proofErr w:type="spellEnd"/>
      <w:r w:rsidRPr="007A763C">
        <w:rPr>
          <w:sz w:val="28"/>
          <w:szCs w:val="28"/>
        </w:rPr>
        <w:t xml:space="preserve">, podrán solicitar </w:t>
      </w:r>
      <w:r w:rsidRPr="007A763C">
        <w:rPr>
          <w:sz w:val="28"/>
          <w:szCs w:val="28"/>
        </w:rPr>
        <w:lastRenderedPageBreak/>
        <w:t xml:space="preserve">los informes presentados por las entidades a través del correo electrónico: </w:t>
      </w:r>
      <w:hyperlink r:id="rId10" w:history="1">
        <w:r w:rsidRPr="007A763C">
          <w:rPr>
            <w:rStyle w:val="Hipervnculo"/>
            <w:sz w:val="28"/>
            <w:szCs w:val="28"/>
          </w:rPr>
          <w:t>desplazamientoforzado@corteconstitcuional.gov.co</w:t>
        </w:r>
      </w:hyperlink>
      <w:r w:rsidRPr="007A763C">
        <w:rPr>
          <w:sz w:val="28"/>
          <w:szCs w:val="28"/>
        </w:rPr>
        <w:t>.</w:t>
      </w:r>
    </w:p>
    <w:p w:rsidR="007A763C" w:rsidRPr="007A763C" w:rsidRDefault="007A763C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23F96" w:rsidRPr="007A763C" w:rsidRDefault="00B23F9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 xml:space="preserve">Notifíquese y cúmplase, 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BA3316" w:rsidRPr="007A763C" w:rsidRDefault="00BA3316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</w:p>
    <w:p w:rsidR="00B23F96" w:rsidRPr="007A763C" w:rsidRDefault="00B23F96" w:rsidP="009D39C4">
      <w:pPr>
        <w:pStyle w:val="Sinespaciado"/>
        <w:jc w:val="center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center"/>
        <w:rPr>
          <w:b/>
          <w:sz w:val="28"/>
          <w:szCs w:val="28"/>
          <w:lang w:val="es-ES_tradnl"/>
        </w:rPr>
      </w:pPr>
      <w:r w:rsidRPr="007A763C">
        <w:rPr>
          <w:b/>
          <w:sz w:val="28"/>
          <w:szCs w:val="28"/>
          <w:lang w:val="es-ES_tradnl"/>
        </w:rPr>
        <w:t>GLORIA STELLA ORTIZ DELGADO</w:t>
      </w:r>
    </w:p>
    <w:p w:rsidR="009D39C4" w:rsidRPr="007A763C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>Magistrada Presidente</w:t>
      </w:r>
    </w:p>
    <w:p w:rsidR="009D39C4" w:rsidRPr="007A763C" w:rsidRDefault="009D39C4" w:rsidP="009D39C4">
      <w:pPr>
        <w:pStyle w:val="Sinespaciado"/>
        <w:jc w:val="center"/>
        <w:rPr>
          <w:sz w:val="28"/>
          <w:szCs w:val="28"/>
          <w:lang w:val="es-ES_tradnl"/>
        </w:rPr>
      </w:pPr>
      <w:r w:rsidRPr="007A763C">
        <w:rPr>
          <w:sz w:val="28"/>
          <w:szCs w:val="28"/>
          <w:lang w:val="es-ES_tradnl"/>
        </w:rPr>
        <w:t>Sala Especial de Seguimiento Sentencia T-025 De 2004</w:t>
      </w: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pStyle w:val="Sinespaciado"/>
        <w:jc w:val="both"/>
        <w:rPr>
          <w:sz w:val="28"/>
          <w:szCs w:val="28"/>
          <w:lang w:val="es-ES_tradnl"/>
        </w:rPr>
      </w:pPr>
    </w:p>
    <w:p w:rsidR="009D39C4" w:rsidRPr="007A763C" w:rsidRDefault="009D39C4" w:rsidP="009D39C4">
      <w:pPr>
        <w:spacing w:line="320" w:lineRule="exact"/>
        <w:ind w:right="76"/>
        <w:jc w:val="center"/>
        <w:rPr>
          <w:rFonts w:cs="Times New Roman"/>
          <w:b/>
          <w:szCs w:val="28"/>
          <w:lang w:val="es-ES_tradnl"/>
        </w:rPr>
      </w:pPr>
      <w:r w:rsidRPr="007A763C">
        <w:rPr>
          <w:rFonts w:cs="Times New Roman"/>
          <w:b/>
          <w:szCs w:val="28"/>
          <w:lang w:val="es-ES_tradnl"/>
        </w:rPr>
        <w:t>MARTHA VICTORIA SACHICA MÉNDEZ</w:t>
      </w:r>
    </w:p>
    <w:p w:rsidR="003D6FA3" w:rsidRPr="007A763C" w:rsidRDefault="009D39C4" w:rsidP="00BA3316">
      <w:pPr>
        <w:spacing w:line="320" w:lineRule="exact"/>
        <w:ind w:right="76"/>
        <w:jc w:val="center"/>
        <w:rPr>
          <w:rFonts w:cs="Times New Roman"/>
          <w:szCs w:val="28"/>
          <w:lang w:val="es-ES_tradnl"/>
        </w:rPr>
      </w:pPr>
      <w:r w:rsidRPr="007A763C">
        <w:rPr>
          <w:rFonts w:cs="Times New Roman"/>
          <w:szCs w:val="28"/>
          <w:lang w:val="es-ES_tradnl"/>
        </w:rPr>
        <w:t>Secretaria General</w:t>
      </w:r>
    </w:p>
    <w:sectPr w:rsidR="003D6FA3" w:rsidRPr="007A763C" w:rsidSect="00F664E3">
      <w:headerReference w:type="default" r:id="rId11"/>
      <w:footerReference w:type="default" r:id="rId12"/>
      <w:pgSz w:w="12242" w:h="18722" w:code="14"/>
      <w:pgMar w:top="1701" w:right="170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A5" w:rsidRDefault="00B71BA5" w:rsidP="009D39C4">
      <w:r>
        <w:separator/>
      </w:r>
    </w:p>
  </w:endnote>
  <w:endnote w:type="continuationSeparator" w:id="0">
    <w:p w:rsidR="00B71BA5" w:rsidRDefault="00B71BA5" w:rsidP="009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88619"/>
      <w:docPartObj>
        <w:docPartGallery w:val="Page Numbers (Bottom of Page)"/>
        <w:docPartUnique/>
      </w:docPartObj>
    </w:sdtPr>
    <w:sdtEndPr/>
    <w:sdtContent>
      <w:p w:rsidR="00CE46ED" w:rsidRDefault="00B23F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82" w:rsidRPr="00F72C82">
          <w:rPr>
            <w:noProof/>
            <w:lang w:val="es-ES"/>
          </w:rPr>
          <w:t>3</w:t>
        </w:r>
        <w:r>
          <w:fldChar w:fldCharType="end"/>
        </w:r>
      </w:p>
    </w:sdtContent>
  </w:sdt>
  <w:p w:rsidR="00CE46ED" w:rsidRDefault="00B71B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A5" w:rsidRDefault="00B71BA5" w:rsidP="009D39C4">
      <w:r>
        <w:separator/>
      </w:r>
    </w:p>
  </w:footnote>
  <w:footnote w:type="continuationSeparator" w:id="0">
    <w:p w:rsidR="00B71BA5" w:rsidRDefault="00B71BA5" w:rsidP="009D39C4">
      <w:r>
        <w:continuationSeparator/>
      </w:r>
    </w:p>
  </w:footnote>
  <w:footnote w:id="1">
    <w:p w:rsidR="007A763C" w:rsidRPr="009851F7" w:rsidRDefault="007A763C" w:rsidP="007A763C">
      <w:pPr>
        <w:pStyle w:val="Textonotapie"/>
        <w:rPr>
          <w:lang w:val="es-ES_tradnl"/>
        </w:rPr>
      </w:pPr>
      <w:r w:rsidRPr="00D33297">
        <w:rPr>
          <w:rStyle w:val="Refdenotaalpie"/>
          <w:lang w:val="es-ES_tradnl"/>
        </w:rPr>
        <w:footnoteRef/>
      </w:r>
      <w:r w:rsidRPr="00D33297">
        <w:rPr>
          <w:lang w:val="es-ES_tradnl"/>
        </w:rPr>
        <w:t xml:space="preserve"> Por ejemplo, esta Corporación tiene conocimiento de las difíciles condiciones que </w:t>
      </w:r>
      <w:r>
        <w:rPr>
          <w:lang w:val="es-ES_tradnl"/>
        </w:rPr>
        <w:t>afrontan</w:t>
      </w:r>
      <w:r w:rsidRPr="00D33297">
        <w:rPr>
          <w:lang w:val="es-ES_tradnl"/>
        </w:rPr>
        <w:t xml:space="preserve"> las comunidades, así como </w:t>
      </w:r>
      <w:r>
        <w:rPr>
          <w:lang w:val="es-ES_tradnl"/>
        </w:rPr>
        <w:t xml:space="preserve">las barreras que enfrentan para acceder a servicios como el de justicia. </w:t>
      </w:r>
      <w:r>
        <w:rPr>
          <w:i/>
          <w:lang w:val="es-ES_tradnl"/>
        </w:rPr>
        <w:t>Cfr</w:t>
      </w:r>
      <w:r>
        <w:rPr>
          <w:lang w:val="es-ES_tradnl"/>
        </w:rPr>
        <w:t>. Anexo II del Auto 266 de 2017. Págs. 64-65.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ED" w:rsidRPr="004B780B" w:rsidRDefault="00B23F96" w:rsidP="00CE46ED">
    <w:pPr>
      <w:pStyle w:val="Encabezado"/>
      <w:jc w:val="right"/>
      <w:rPr>
        <w:i/>
      </w:rPr>
    </w:pPr>
    <w:r w:rsidRPr="004B780B">
      <w:rPr>
        <w:i/>
      </w:rPr>
      <w:t xml:space="preserve">Sala Especial de Seguimiento Sentencia T-025 de 2004 </w:t>
    </w:r>
  </w:p>
  <w:p w:rsidR="00CE46ED" w:rsidRDefault="00B23F96" w:rsidP="00CE46ED">
    <w:pPr>
      <w:pStyle w:val="Encabezado"/>
      <w:tabs>
        <w:tab w:val="clear" w:pos="8838"/>
        <w:tab w:val="left" w:pos="5991"/>
        <w:tab w:val="right" w:pos="884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 w:rsidRPr="004B780B">
      <w:rPr>
        <w:i/>
      </w:rPr>
      <w:t>M.P. Gloria Stella Ortiz Delgado</w:t>
    </w:r>
  </w:p>
  <w:p w:rsidR="00CE46ED" w:rsidRDefault="00B71B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5698"/>
    <w:multiLevelType w:val="hybridMultilevel"/>
    <w:tmpl w:val="0988FE1A"/>
    <w:lvl w:ilvl="0" w:tplc="D988B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121A"/>
    <w:multiLevelType w:val="hybridMultilevel"/>
    <w:tmpl w:val="B86EEE6E"/>
    <w:lvl w:ilvl="0" w:tplc="9B824E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6"/>
    <w:rsid w:val="00086554"/>
    <w:rsid w:val="000A7DA8"/>
    <w:rsid w:val="00170768"/>
    <w:rsid w:val="001C57B4"/>
    <w:rsid w:val="001D0DFA"/>
    <w:rsid w:val="001E1E31"/>
    <w:rsid w:val="002054BF"/>
    <w:rsid w:val="00280B08"/>
    <w:rsid w:val="003D3B4D"/>
    <w:rsid w:val="003D6FA3"/>
    <w:rsid w:val="00475F68"/>
    <w:rsid w:val="005268C6"/>
    <w:rsid w:val="00574D76"/>
    <w:rsid w:val="00627181"/>
    <w:rsid w:val="00741456"/>
    <w:rsid w:val="007A763C"/>
    <w:rsid w:val="007C2F5D"/>
    <w:rsid w:val="00842357"/>
    <w:rsid w:val="008D17AA"/>
    <w:rsid w:val="009420C4"/>
    <w:rsid w:val="009D39C4"/>
    <w:rsid w:val="009D3B08"/>
    <w:rsid w:val="00B23F96"/>
    <w:rsid w:val="00B34CCD"/>
    <w:rsid w:val="00B71BA5"/>
    <w:rsid w:val="00BA3316"/>
    <w:rsid w:val="00C244D9"/>
    <w:rsid w:val="00CB5FEB"/>
    <w:rsid w:val="00CD2CD4"/>
    <w:rsid w:val="00D13E6E"/>
    <w:rsid w:val="00E96784"/>
    <w:rsid w:val="00F664E3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3B1262-5068-4A03-BEF5-E038A75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6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D3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9C4"/>
  </w:style>
  <w:style w:type="table" w:styleId="Tablaconcuadrcula">
    <w:name w:val="Table Grid"/>
    <w:basedOn w:val="Tablanormal"/>
    <w:uiPriority w:val="39"/>
    <w:rsid w:val="009D39C4"/>
    <w:pPr>
      <w:spacing w:after="0" w:line="240" w:lineRule="auto"/>
    </w:pPr>
    <w:rPr>
      <w:rFonts w:ascii="Times New Roman" w:hAnsi="Times New Roman"/>
      <w:sz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9C4"/>
    <w:pPr>
      <w:tabs>
        <w:tab w:val="center" w:pos="4419"/>
        <w:tab w:val="right" w:pos="8838"/>
      </w:tabs>
    </w:pPr>
    <w:rPr>
      <w:rFonts w:eastAsia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9D39C4"/>
    <w:rPr>
      <w:rFonts w:eastAsia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C4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9C4"/>
    <w:rPr>
      <w:vertAlign w:val="superscript"/>
    </w:rPr>
  </w:style>
  <w:style w:type="paragraph" w:styleId="Sinespaciado">
    <w:name w:val="No Spacing"/>
    <w:uiPriority w:val="1"/>
    <w:qFormat/>
    <w:rsid w:val="009D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39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3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B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splazamientoforzado@corteconstitcuional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plazamientoforzado@corteconstitcuional.gov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F9E1-5A94-420F-AF0A-E5066B5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Adonorem T025</dc:creator>
  <cp:lastModifiedBy>Adonorem T025</cp:lastModifiedBy>
  <cp:revision>4</cp:revision>
  <cp:lastPrinted>2018-10-22T20:16:00Z</cp:lastPrinted>
  <dcterms:created xsi:type="dcterms:W3CDTF">2018-10-18T20:00:00Z</dcterms:created>
  <dcterms:modified xsi:type="dcterms:W3CDTF">2018-10-22T20:16:00Z</dcterms:modified>
</cp:coreProperties>
</file>